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2nd B1 – 2025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ab/>
        <w:t xml:space="preserve">Gold Experience A2+ Second Edtion Student´s book Ed. Pearson</w:t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  <w:tab/>
        <w:t xml:space="preserve">Gold Experience A2+ Second Edtion Workbook Ed. Pearson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Alegría, Matías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Caballero, Emilia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Caputo, Federica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Cordano, Juan Ignacio </w:t>
        <w:tab/>
      </w:r>
      <w:r w:rsidDel="00000000" w:rsidR="00000000" w:rsidRPr="00000000">
        <w:rPr>
          <w:rtl w:val="0"/>
        </w:rPr>
        <w:t xml:space="preserve"> </w:t>
        <w:tab/>
        <w:br w:type="textWrapping"/>
        <w:t xml:space="preserve"> </w:t>
        <w:tab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sz w:val="24"/>
          <w:szCs w:val="24"/>
          <w:rtl w:val="0"/>
        </w:rPr>
        <w:t xml:space="preserve">Gómez, Pía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González, Facundo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Jauregui, Facundo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López, Valentina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Sturm, Guillermo</w:t>
        <w:br w:type="textWrapping"/>
      </w:r>
    </w:p>
    <w:p w:rsidR="00000000" w:rsidDel="00000000" w:rsidP="00000000" w:rsidRDefault="00000000" w:rsidRPr="00000000" w14:paraId="0000000E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